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1"/>
        </w:rPr>
        <w:t xml:space="preserve">المصري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إغلاق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إسرائيلي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فلسطيني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موحد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المركزية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للاتحاد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الديمقراطي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الفلسطيني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فدا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العسكري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الإسرائيلي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إغلاق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فلسطين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تصعيد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ويستهدف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النضال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الفلسطيني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ووصمه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بـالإرهاب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1"/>
        </w:rPr>
        <w:t xml:space="preserve">واضاف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تصريح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صحفي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سلسلة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تمارسها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وتأخد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اشكالا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والقرصنة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والابتزاز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والمساومة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بأرادة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وعزيمة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أسرانا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1"/>
        </w:rPr>
        <w:t xml:space="preserve">وأكد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الفلسطينية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الاستمرار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والأسرى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المحررين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وأسرهم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نضالهم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الإسرائيلي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يستوحب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فلسطيني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داعيا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مسؤولياتها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محاولات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الابتزاز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الأسرى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1"/>
        </w:rPr>
        <w:t xml:space="preserve">وأعتبر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والمحررين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وعائلاتهم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داعيا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الفلسطيني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مكوناته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والفصائلية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والشعبية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خندق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لمواجهة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والبلطجة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الإسرائيلية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نضال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أسرانا</w:t>
      </w:r>
      <w:r w:rsidDel="00000000" w:rsidR="00000000" w:rsidRPr="00000000">
        <w:rPr>
          <w:rtl w:val="0"/>
        </w:rPr>
        <w:t xml:space="preserve">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_P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